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document-metadata" Target="baytech/document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7E52" w14:textId="77777777" w:rsidR="00CD7B8C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  <w:lang w:val="en-US"/>
        </w:rPr>
      </w:pPr>
      <w:bookmarkStart w:id="0" w:name="_Hlk156910984"/>
      <w:r w:rsidRPr="00B54E6C">
        <w:rPr>
          <w:rFonts w:cs="Arial"/>
          <w:spacing w:val="0"/>
          <w:sz w:val="22"/>
          <w:szCs w:val="22"/>
          <w:lang w:val="en-US"/>
        </w:rPr>
        <w:t xml:space="preserve">The Great Barrier Reef World Heritage Area has been </w:t>
      </w:r>
      <w:r w:rsidR="00F17066" w:rsidRPr="00B54E6C">
        <w:rPr>
          <w:rFonts w:cs="Arial"/>
          <w:spacing w:val="0"/>
          <w:sz w:val="22"/>
          <w:szCs w:val="22"/>
          <w:lang w:val="en-US"/>
        </w:rPr>
        <w:t>subject to consideration</w:t>
      </w:r>
      <w:r w:rsidRPr="00B54E6C">
        <w:rPr>
          <w:rFonts w:cs="Arial"/>
          <w:spacing w:val="0"/>
          <w:sz w:val="22"/>
          <w:szCs w:val="22"/>
          <w:lang w:val="en-US"/>
        </w:rPr>
        <w:t xml:space="preserve"> at successive World Heritage Committee meetings since 2012.</w:t>
      </w:r>
    </w:p>
    <w:p w14:paraId="37B37E53" w14:textId="77777777" w:rsidR="00CD7B8C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  <w:lang w:val="en-US"/>
        </w:rPr>
      </w:pPr>
      <w:r w:rsidRPr="00B54E6C">
        <w:rPr>
          <w:rFonts w:cs="Arial"/>
          <w:spacing w:val="0"/>
          <w:sz w:val="22"/>
          <w:szCs w:val="22"/>
          <w:lang w:val="en-US"/>
        </w:rPr>
        <w:t>At the 2021 World Heritage Committee meeting, it was recommended that the Reef be listed ‘in danger’, but the Committee did not agree and requested a Reactive Monitoring Mission.</w:t>
      </w:r>
    </w:p>
    <w:p w14:paraId="37B37E54" w14:textId="77777777" w:rsidR="00CD7B8C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</w:rPr>
      </w:pPr>
      <w:r w:rsidRPr="00B54E6C">
        <w:rPr>
          <w:rFonts w:cs="Arial"/>
          <w:spacing w:val="0"/>
          <w:sz w:val="22"/>
          <w:szCs w:val="22"/>
        </w:rPr>
        <w:t>The Mission visited the Reef in March 2022 and published its ‘Report on the Joint World Heritage Centre/IUCN Reactive Monitoring Mission to the Great Barrier Reef (Australia)’ in November 2022, which again recommended the Reef be listed in-danger.</w:t>
      </w:r>
    </w:p>
    <w:p w14:paraId="37B37E55" w14:textId="3ACC5F56" w:rsidR="00CD7B8C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  <w:lang w:val="en-US"/>
        </w:rPr>
      </w:pPr>
      <w:r w:rsidRPr="00B54E6C">
        <w:rPr>
          <w:rFonts w:cs="Arial"/>
          <w:spacing w:val="0"/>
          <w:sz w:val="22"/>
          <w:szCs w:val="22"/>
          <w:lang w:val="en-US"/>
        </w:rPr>
        <w:t xml:space="preserve">In response to the Mission Report’s recommendations, new commitments were made by the Australian and Queensland governments in </w:t>
      </w:r>
      <w:r w:rsidR="0084497E" w:rsidRPr="00B54E6C">
        <w:rPr>
          <w:rFonts w:cs="Arial"/>
          <w:spacing w:val="0"/>
          <w:sz w:val="22"/>
          <w:szCs w:val="22"/>
          <w:lang w:val="en-US"/>
        </w:rPr>
        <w:t xml:space="preserve">May 2023 in </w:t>
      </w:r>
      <w:r w:rsidRPr="00B54E6C">
        <w:rPr>
          <w:rFonts w:cs="Arial"/>
          <w:spacing w:val="0"/>
          <w:sz w:val="22"/>
          <w:szCs w:val="22"/>
          <w:lang w:val="en-US"/>
        </w:rPr>
        <w:t>the lead up to the September 2023 World Heritage Committee meeting – 13 commitments grouped around the key issues of water quality, climate change and fisheries</w:t>
      </w:r>
      <w:r w:rsidR="00E30827">
        <w:rPr>
          <w:rFonts w:cs="Arial"/>
          <w:spacing w:val="0"/>
          <w:sz w:val="22"/>
          <w:szCs w:val="22"/>
          <w:lang w:val="en-US"/>
        </w:rPr>
        <w:t>.</w:t>
      </w:r>
    </w:p>
    <w:p w14:paraId="37B37E56" w14:textId="258B3BF9" w:rsidR="00CD7B8C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  <w:lang w:val="en-US"/>
        </w:rPr>
      </w:pPr>
      <w:r w:rsidRPr="00B54E6C">
        <w:rPr>
          <w:rFonts w:cs="Arial"/>
          <w:spacing w:val="0"/>
          <w:sz w:val="22"/>
          <w:szCs w:val="22"/>
          <w:lang w:val="en-US"/>
        </w:rPr>
        <w:t xml:space="preserve">At the 2023 World Heritage Committee meeting, it was not recommended that the Reef be listed </w:t>
      </w:r>
      <w:r w:rsidR="00E30827">
        <w:rPr>
          <w:rFonts w:cs="Arial"/>
          <w:spacing w:val="0"/>
          <w:sz w:val="22"/>
          <w:szCs w:val="22"/>
          <w:lang w:val="en-US"/>
        </w:rPr>
        <w:t>‘</w:t>
      </w:r>
      <w:r w:rsidRPr="00B54E6C">
        <w:rPr>
          <w:rFonts w:cs="Arial"/>
          <w:spacing w:val="0"/>
          <w:sz w:val="22"/>
          <w:szCs w:val="22"/>
          <w:lang w:val="en-US"/>
        </w:rPr>
        <w:t>in</w:t>
      </w:r>
      <w:r w:rsidR="00E30827">
        <w:rPr>
          <w:rFonts w:cs="Arial"/>
          <w:spacing w:val="0"/>
          <w:sz w:val="22"/>
          <w:szCs w:val="22"/>
          <w:lang w:val="en-US"/>
        </w:rPr>
        <w:t xml:space="preserve"> </w:t>
      </w:r>
      <w:r w:rsidRPr="00B54E6C">
        <w:rPr>
          <w:rFonts w:cs="Arial"/>
          <w:spacing w:val="0"/>
          <w:sz w:val="22"/>
          <w:szCs w:val="22"/>
          <w:lang w:val="en-US"/>
        </w:rPr>
        <w:t>danger</w:t>
      </w:r>
      <w:r w:rsidR="00E30827">
        <w:rPr>
          <w:rFonts w:cs="Arial"/>
          <w:spacing w:val="0"/>
          <w:sz w:val="22"/>
          <w:szCs w:val="22"/>
          <w:lang w:val="en-US"/>
        </w:rPr>
        <w:t>’</w:t>
      </w:r>
      <w:r w:rsidRPr="00B54E6C">
        <w:rPr>
          <w:rFonts w:cs="Arial"/>
          <w:spacing w:val="0"/>
          <w:sz w:val="22"/>
          <w:szCs w:val="22"/>
          <w:lang w:val="en-US"/>
        </w:rPr>
        <w:t xml:space="preserve"> and the Committee requested that Australia provide a Progress Report on commitments by 1 February 2024 for consideration at the 46</w:t>
      </w:r>
      <w:r w:rsidRPr="00B54E6C">
        <w:rPr>
          <w:rFonts w:cs="Arial"/>
          <w:spacing w:val="0"/>
          <w:sz w:val="22"/>
          <w:szCs w:val="22"/>
          <w:vertAlign w:val="superscript"/>
          <w:lang w:val="en-US"/>
        </w:rPr>
        <w:t>th</w:t>
      </w:r>
      <w:r w:rsidRPr="00B54E6C">
        <w:rPr>
          <w:rFonts w:cs="Arial"/>
          <w:spacing w:val="0"/>
          <w:sz w:val="22"/>
          <w:szCs w:val="22"/>
          <w:lang w:val="en-US"/>
        </w:rPr>
        <w:t xml:space="preserve"> meeting of the Committee in July 2024.</w:t>
      </w:r>
    </w:p>
    <w:p w14:paraId="37B37E57" w14:textId="77777777" w:rsidR="00CD7B8C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  <w:lang w:val="en-US"/>
        </w:rPr>
      </w:pPr>
      <w:r w:rsidRPr="00B54E6C">
        <w:rPr>
          <w:rFonts w:cs="Arial"/>
          <w:spacing w:val="0"/>
          <w:sz w:val="22"/>
          <w:szCs w:val="22"/>
          <w:lang w:val="en-US"/>
        </w:rPr>
        <w:t xml:space="preserve">The Progress Report conveys progress against commitments made by the </w:t>
      </w:r>
      <w:r w:rsidR="0084497E" w:rsidRPr="00B54E6C">
        <w:rPr>
          <w:rFonts w:cs="Arial"/>
          <w:spacing w:val="0"/>
          <w:sz w:val="22"/>
          <w:szCs w:val="22"/>
          <w:lang w:val="en-US"/>
        </w:rPr>
        <w:t>Commonwealth and State to protect the reef including climate change, water quality and fisheries reform.</w:t>
      </w:r>
    </w:p>
    <w:p w14:paraId="37B37E58" w14:textId="53468752" w:rsidR="0084497E" w:rsidRPr="00B54E6C" w:rsidRDefault="003970DE" w:rsidP="00CC6EC4">
      <w:pPr>
        <w:pStyle w:val="ListParagraph"/>
        <w:numPr>
          <w:ilvl w:val="0"/>
          <w:numId w:val="3"/>
        </w:numPr>
        <w:spacing w:before="240"/>
        <w:jc w:val="both"/>
        <w:rPr>
          <w:rFonts w:cs="Arial"/>
          <w:spacing w:val="0"/>
          <w:sz w:val="22"/>
          <w:szCs w:val="22"/>
        </w:rPr>
      </w:pPr>
      <w:r w:rsidRPr="00B54E6C">
        <w:rPr>
          <w:rFonts w:cs="Arial"/>
          <w:spacing w:val="0"/>
          <w:sz w:val="22"/>
          <w:szCs w:val="22"/>
          <w:u w:val="single"/>
        </w:rPr>
        <w:t>Cabinet</w:t>
      </w:r>
      <w:r w:rsidR="00E30827">
        <w:rPr>
          <w:rFonts w:cs="Arial"/>
          <w:spacing w:val="0"/>
          <w:sz w:val="22"/>
          <w:szCs w:val="22"/>
          <w:u w:val="single"/>
        </w:rPr>
        <w:t xml:space="preserve"> </w:t>
      </w:r>
      <w:r w:rsidRPr="00B54E6C">
        <w:rPr>
          <w:rFonts w:cs="Arial"/>
          <w:spacing w:val="0"/>
          <w:sz w:val="22"/>
          <w:szCs w:val="22"/>
          <w:u w:val="single"/>
        </w:rPr>
        <w:t>noted</w:t>
      </w:r>
      <w:r w:rsidRPr="00B54E6C">
        <w:rPr>
          <w:rFonts w:cs="Arial"/>
          <w:spacing w:val="0"/>
          <w:sz w:val="22"/>
          <w:szCs w:val="22"/>
        </w:rPr>
        <w:t xml:space="preserve"> the Great Barrier Reef Progress Report will be submitted to the </w:t>
      </w:r>
      <w:r w:rsidR="00E30827">
        <w:rPr>
          <w:rFonts w:cs="Arial"/>
          <w:spacing w:val="0"/>
          <w:sz w:val="22"/>
          <w:szCs w:val="22"/>
        </w:rPr>
        <w:br/>
      </w:r>
      <w:r w:rsidRPr="00B54E6C">
        <w:rPr>
          <w:rFonts w:cs="Arial"/>
          <w:spacing w:val="0"/>
          <w:sz w:val="22"/>
          <w:szCs w:val="22"/>
        </w:rPr>
        <w:t>Australian Government for the Honourable Tanya Plibersek MP, Federal Minister for the Environment and Water to transmit to the UNESCO World Heritage Centre.</w:t>
      </w:r>
    </w:p>
    <w:p w14:paraId="37B37E59" w14:textId="77777777" w:rsidR="0084497E" w:rsidRPr="00E30827" w:rsidRDefault="003970DE" w:rsidP="00F52234">
      <w:pPr>
        <w:pStyle w:val="ListParagraph"/>
        <w:numPr>
          <w:ilvl w:val="0"/>
          <w:numId w:val="3"/>
        </w:numPr>
        <w:spacing w:before="360"/>
        <w:rPr>
          <w:rFonts w:cs="Arial"/>
          <w:i/>
          <w:iCs/>
          <w:spacing w:val="0"/>
          <w:sz w:val="22"/>
          <w:szCs w:val="22"/>
          <w:u w:val="single"/>
        </w:rPr>
      </w:pPr>
      <w:r w:rsidRPr="00E30827">
        <w:rPr>
          <w:rFonts w:cs="Arial"/>
          <w:i/>
          <w:iCs/>
          <w:spacing w:val="0"/>
          <w:sz w:val="22"/>
          <w:szCs w:val="22"/>
          <w:u w:val="single"/>
        </w:rPr>
        <w:t>Attachments</w:t>
      </w:r>
    </w:p>
    <w:bookmarkEnd w:id="0"/>
    <w:p w14:paraId="37B37E5A" w14:textId="66238029" w:rsidR="00B03D23" w:rsidRPr="00B54E6C" w:rsidRDefault="00EB38C2" w:rsidP="005A0066">
      <w:pPr>
        <w:numPr>
          <w:ilvl w:val="0"/>
          <w:numId w:val="1"/>
        </w:numPr>
        <w:tabs>
          <w:tab w:val="clear" w:pos="814"/>
        </w:tabs>
        <w:spacing w:before="120"/>
        <w:ind w:left="576" w:hanging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7B1C5F">
        <w:rPr>
          <w:rFonts w:ascii="Arial" w:hAnsi="Arial" w:cs="Arial"/>
          <w:sz w:val="22"/>
          <w:szCs w:val="22"/>
        </w:rPr>
        <w:instrText>HYPERLINK "https://dpcqld.sharepoint.com/sites/DPC-CABINETSERVICES/Shared Documents/General/Proactive Release/ToBeProcessed/2024/Jan/GBR/Attachments/Report.PDF"</w:instrText>
      </w:r>
      <w:r w:rsidR="007B1C5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970DE" w:rsidRPr="00EB38C2">
        <w:rPr>
          <w:rStyle w:val="Hyperlink"/>
          <w:rFonts w:ascii="Arial" w:hAnsi="Arial" w:cs="Arial"/>
          <w:sz w:val="22"/>
          <w:szCs w:val="22"/>
        </w:rPr>
        <w:t>Great Barrier Reef Progress Report to UNESCO World Heritage Centre - February 2024</w:t>
      </w:r>
      <w:r>
        <w:rPr>
          <w:rFonts w:ascii="Arial" w:hAnsi="Arial" w:cs="Arial"/>
          <w:sz w:val="22"/>
          <w:szCs w:val="22"/>
        </w:rPr>
        <w:fldChar w:fldCharType="end"/>
      </w:r>
    </w:p>
    <w:sectPr w:rsidR="00B03D23" w:rsidRPr="00B54E6C" w:rsidSect="003D320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ADB5" w14:textId="77777777" w:rsidR="00971E78" w:rsidRDefault="00971E78">
      <w:r>
        <w:separator/>
      </w:r>
    </w:p>
  </w:endnote>
  <w:endnote w:type="continuationSeparator" w:id="0">
    <w:p w14:paraId="5D619408" w14:textId="77777777" w:rsidR="00971E78" w:rsidRDefault="009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0DF6" w14:textId="77777777" w:rsidR="00971E78" w:rsidRDefault="00971E78">
      <w:r>
        <w:separator/>
      </w:r>
    </w:p>
  </w:footnote>
  <w:footnote w:type="continuationSeparator" w:id="0">
    <w:p w14:paraId="68288BC1" w14:textId="77777777" w:rsidR="00971E78" w:rsidRDefault="0097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7E60" w14:textId="77777777" w:rsidR="0084497E" w:rsidRPr="00937A4A" w:rsidRDefault="003970DE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7B37E61" w14:textId="77777777" w:rsidR="0084497E" w:rsidRPr="00937A4A" w:rsidRDefault="0084497E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7B37E62" w14:textId="77777777" w:rsidR="0084497E" w:rsidRPr="00937A4A" w:rsidRDefault="003970DE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January 2024</w:t>
    </w:r>
  </w:p>
  <w:p w14:paraId="37B37E63" w14:textId="77777777" w:rsidR="0084497E" w:rsidRDefault="003970D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16946">
      <w:rPr>
        <w:rFonts w:ascii="Arial" w:hAnsi="Arial" w:cs="Arial"/>
        <w:b/>
        <w:sz w:val="22"/>
        <w:szCs w:val="22"/>
        <w:u w:val="single"/>
      </w:rPr>
      <w:t>Great Barrier Reef – Final Progress Report on commitments to UNESCO World Heritage Centre</w:t>
    </w:r>
  </w:p>
  <w:p w14:paraId="37B37E64" w14:textId="77777777" w:rsidR="0084497E" w:rsidRDefault="003970D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164F4">
      <w:rPr>
        <w:rFonts w:ascii="Arial" w:hAnsi="Arial" w:cs="Arial"/>
        <w:b/>
        <w:sz w:val="22"/>
        <w:szCs w:val="22"/>
        <w:u w:val="single"/>
      </w:rPr>
      <w:t>Minister for the Environment and the Great Barrier Reef and Minister for Science and Innovation</w:t>
    </w:r>
  </w:p>
  <w:p w14:paraId="37B37E65" w14:textId="77777777" w:rsidR="0084497E" w:rsidRPr="00A164F4" w:rsidRDefault="003970DE" w:rsidP="00A164F4">
    <w:pPr>
      <w:pStyle w:val="Header"/>
      <w:rPr>
        <w:rFonts w:ascii="Arial" w:hAnsi="Arial" w:cs="Arial"/>
        <w:b/>
        <w:bCs/>
        <w:sz w:val="22"/>
        <w:szCs w:val="22"/>
        <w:u w:val="single"/>
      </w:rPr>
    </w:pPr>
    <w:r w:rsidRPr="00A164F4">
      <w:rPr>
        <w:rFonts w:ascii="Arial" w:hAnsi="Arial" w:cs="Arial"/>
        <w:b/>
        <w:bCs/>
        <w:sz w:val="22"/>
        <w:szCs w:val="22"/>
        <w:u w:val="single"/>
      </w:rPr>
      <w:t>Minister for Agricultural Industry Development and Fisheries and Minister for Rural Communities</w:t>
    </w:r>
  </w:p>
  <w:p w14:paraId="37B37E66" w14:textId="77777777" w:rsidR="0084497E" w:rsidRDefault="0084497E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05D"/>
    <w:multiLevelType w:val="hybridMultilevel"/>
    <w:tmpl w:val="206E7CA2"/>
    <w:lvl w:ilvl="0" w:tplc="AC40A936">
      <w:start w:val="1"/>
      <w:numFmt w:val="decimal"/>
      <w:lvlText w:val="%1."/>
      <w:lvlJc w:val="left"/>
      <w:pPr>
        <w:ind w:left="360" w:hanging="360"/>
      </w:pPr>
    </w:lvl>
    <w:lvl w:ilvl="1" w:tplc="27403DB0" w:tentative="1">
      <w:start w:val="1"/>
      <w:numFmt w:val="lowerLetter"/>
      <w:lvlText w:val="%2."/>
      <w:lvlJc w:val="left"/>
      <w:pPr>
        <w:ind w:left="1080" w:hanging="360"/>
      </w:pPr>
    </w:lvl>
    <w:lvl w:ilvl="2" w:tplc="13F6039A" w:tentative="1">
      <w:start w:val="1"/>
      <w:numFmt w:val="lowerRoman"/>
      <w:lvlText w:val="%3."/>
      <w:lvlJc w:val="right"/>
      <w:pPr>
        <w:ind w:left="1800" w:hanging="180"/>
      </w:pPr>
    </w:lvl>
    <w:lvl w:ilvl="3" w:tplc="8E2CC698" w:tentative="1">
      <w:start w:val="1"/>
      <w:numFmt w:val="decimal"/>
      <w:lvlText w:val="%4."/>
      <w:lvlJc w:val="left"/>
      <w:pPr>
        <w:ind w:left="2520" w:hanging="360"/>
      </w:pPr>
    </w:lvl>
    <w:lvl w:ilvl="4" w:tplc="621088E2" w:tentative="1">
      <w:start w:val="1"/>
      <w:numFmt w:val="lowerLetter"/>
      <w:lvlText w:val="%5."/>
      <w:lvlJc w:val="left"/>
      <w:pPr>
        <w:ind w:left="3240" w:hanging="360"/>
      </w:pPr>
    </w:lvl>
    <w:lvl w:ilvl="5" w:tplc="D9AE8CC2" w:tentative="1">
      <w:start w:val="1"/>
      <w:numFmt w:val="lowerRoman"/>
      <w:lvlText w:val="%6."/>
      <w:lvlJc w:val="right"/>
      <w:pPr>
        <w:ind w:left="3960" w:hanging="180"/>
      </w:pPr>
    </w:lvl>
    <w:lvl w:ilvl="6" w:tplc="821E3136" w:tentative="1">
      <w:start w:val="1"/>
      <w:numFmt w:val="decimal"/>
      <w:lvlText w:val="%7."/>
      <w:lvlJc w:val="left"/>
      <w:pPr>
        <w:ind w:left="4680" w:hanging="360"/>
      </w:pPr>
    </w:lvl>
    <w:lvl w:ilvl="7" w:tplc="69D8FE6C" w:tentative="1">
      <w:start w:val="1"/>
      <w:numFmt w:val="lowerLetter"/>
      <w:lvlText w:val="%8."/>
      <w:lvlJc w:val="left"/>
      <w:pPr>
        <w:ind w:left="5400" w:hanging="360"/>
      </w:pPr>
    </w:lvl>
    <w:lvl w:ilvl="8" w:tplc="061E2F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C7BCA"/>
    <w:multiLevelType w:val="hybridMultilevel"/>
    <w:tmpl w:val="D2B88F9A"/>
    <w:lvl w:ilvl="0" w:tplc="229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40B1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5015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BCBA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0282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0AE7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80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248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00A6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F2A08114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576A1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2B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CD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A5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62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66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01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6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494542">
    <w:abstractNumId w:val="2"/>
  </w:num>
  <w:num w:numId="2" w16cid:durableId="1921597739">
    <w:abstractNumId w:val="1"/>
  </w:num>
  <w:num w:numId="3" w16cid:durableId="116273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8C"/>
    <w:rsid w:val="00016946"/>
    <w:rsid w:val="00103CA0"/>
    <w:rsid w:val="002833DB"/>
    <w:rsid w:val="003725E9"/>
    <w:rsid w:val="003970DE"/>
    <w:rsid w:val="003D3203"/>
    <w:rsid w:val="00432F21"/>
    <w:rsid w:val="005A0066"/>
    <w:rsid w:val="00650C82"/>
    <w:rsid w:val="00664F70"/>
    <w:rsid w:val="007B1C5F"/>
    <w:rsid w:val="007B5477"/>
    <w:rsid w:val="00823A27"/>
    <w:rsid w:val="0084497E"/>
    <w:rsid w:val="00853FA2"/>
    <w:rsid w:val="00937A4A"/>
    <w:rsid w:val="00956DE1"/>
    <w:rsid w:val="00971E78"/>
    <w:rsid w:val="009C6C23"/>
    <w:rsid w:val="00A046FB"/>
    <w:rsid w:val="00A163E0"/>
    <w:rsid w:val="00A164F4"/>
    <w:rsid w:val="00A23A7B"/>
    <w:rsid w:val="00AB5839"/>
    <w:rsid w:val="00B03D23"/>
    <w:rsid w:val="00B54E6C"/>
    <w:rsid w:val="00C15443"/>
    <w:rsid w:val="00C76EF8"/>
    <w:rsid w:val="00CC6EC4"/>
    <w:rsid w:val="00CD5F70"/>
    <w:rsid w:val="00CD7B8C"/>
    <w:rsid w:val="00D6589B"/>
    <w:rsid w:val="00DC2AC4"/>
    <w:rsid w:val="00DD76D6"/>
    <w:rsid w:val="00E30827"/>
    <w:rsid w:val="00EB38C2"/>
    <w:rsid w:val="00F16292"/>
    <w:rsid w:val="00F17066"/>
    <w:rsid w:val="00F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7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8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B8C"/>
    <w:rPr>
      <w:rFonts w:ascii="Times New Roman" w:eastAsia="Times New Roman" w:hAnsi="Times New Roman" w:cs="Times New Roman"/>
      <w:color w:val="000000"/>
      <w:kern w:val="0"/>
      <w:sz w:val="24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7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B8C"/>
    <w:rPr>
      <w:rFonts w:ascii="Times New Roman" w:eastAsia="Times New Roman" w:hAnsi="Times New Roman" w:cs="Times New Roman"/>
      <w:color w:val="000000"/>
      <w:kern w:val="0"/>
      <w:sz w:val="24"/>
      <w:szCs w:val="20"/>
      <w:lang w:eastAsia="en-AU"/>
      <w14:ligatures w14:val="none"/>
    </w:rPr>
  </w:style>
  <w:style w:type="paragraph" w:styleId="ListParagraph">
    <w:name w:val="List Paragraph"/>
    <w:aliases w:val="Bullet point,Bulleted Para,Bulletr List Paragraph,DDM Gen Text,FooterText,L,List Paragraph - bullets,List Paragraph1,List Paragraph11,NFP GP Bulleted List,Paragraphe de liste1,Recommendation,bullet point list,numbered,リスト段落1,列,列出段落,列出段落1"/>
    <w:basedOn w:val="Normal"/>
    <w:link w:val="ListParagraphChar"/>
    <w:uiPriority w:val="34"/>
    <w:qFormat/>
    <w:rsid w:val="00CD7B8C"/>
    <w:pPr>
      <w:ind w:left="720"/>
    </w:pPr>
    <w:rPr>
      <w:rFonts w:ascii="Arial" w:hAnsi="Arial"/>
      <w:color w:val="auto"/>
      <w:spacing w:val="-3"/>
    </w:rPr>
  </w:style>
  <w:style w:type="character" w:customStyle="1" w:styleId="ListParagraphChar">
    <w:name w:val="List Paragraph Char"/>
    <w:aliases w:val="Bullet point Char,Bulleted Para Char,Bulletr List Paragraph Char,DDM Gen Text Char,FooterText Char,L Char,List Paragraph - bullets Char,List Paragraph1 Char,List Paragraph11 Char,NFP GP Bulleted List Char,Paragraphe de liste1 Char"/>
    <w:link w:val="ListParagraph"/>
    <w:uiPriority w:val="34"/>
    <w:qFormat/>
    <w:locked/>
    <w:rsid w:val="00CD7B8C"/>
    <w:rPr>
      <w:rFonts w:ascii="Arial" w:eastAsia="Times New Roman" w:hAnsi="Arial" w:cs="Times New Roman"/>
      <w:spacing w:val="-3"/>
      <w:kern w:val="0"/>
      <w:sz w:val="24"/>
      <w:szCs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B03D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D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B3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DB030-3162-4D83-BAA7-BC50316BD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BC28D-F4FC-49F2-9F21-919E1A27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1408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Base>https://www.cabinet.qld.gov.au/documents/2024/Jan/GBR/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2024-05-15T23:28:00Z</cp:lastPrinted>
  <dcterms:created xsi:type="dcterms:W3CDTF">2024-05-15T23:28:00Z</dcterms:created>
  <dcterms:modified xsi:type="dcterms:W3CDTF">2024-09-26T21:52:00Z</dcterms:modified>
  <cp:category>Environment,Environmental_Protection,Intergovernmental,Government_Commitments,Tourism,Climate_Change,Coastal</cp:category>
</cp:coreProperties>
</file>